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keepLines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/>
          <w:bCs/>
          <w:color w:val="0D1A66"/>
          <w:sz w:val="40"/>
          <w:szCs w:val="40"/>
        </w:rPr>
        <w:t xml:space="preserve">Wolf-Agents Security Report</w:t>
      </w:r>
    </w:p>
    <w:p>
      <w:pPr>
        <w:keepNext w:val="false"/>
        <w:keepLines w:val="false"/>
        <w:widowControl/>
        <w:spacing w:after="120" w:before="0"/>
      </w:pPr>
      <w:r>
        <w:rPr>
          <w:rFonts w:ascii="DejaVu Sans" w:hAnsi="DejaVu Sans" w:eastAsia="Wolf Report CJK" w:cs="DejaVu Sans"/>
          <w:lang w:val="de-DE" w:eastAsia="de-DE"/>
          <w:b/>
          <w:bCs/>
          <w:sz w:val="26"/>
          <w:szCs w:val="26"/>
        </w:rPr>
        <w:t xml:space="preserve">API-Security-Check: CORS &amp; Sicherheitsheader am öffentlichen Endpunkt</w:t>
      </w:r>
    </w:p>
    <w:p>
      <w:pPr>
        <w:keepNext w:val="false"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18"/>
          <w:szCs w:val="18"/>
        </w:rPr>
        <w:t xml:space="preserve">Ausgabe: de / none / 2026-10-05.2 · Technische Ergebnisse, Erläuterungen und Fachquellen ohne zusätzliche rechtliche Einordnung. · Hinweise geprüft: 2026-10-05</w:t>
      </w:r>
    </w:p>
    <w:p>
      <w:pPr>
        <w:pBdr>
          <w:bottom w:val="single" w:color="C8C8C8" w:sz="6" w:space="1"/>
        </w:pBdr>
        <w:spacing w:after="120" w:before="120"/>
      </w:pP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/>
          <w:bCs/>
          <w:sz w:val="20"/>
          <w:szCs w:val="20"/>
        </w:rPr>
        <w:t xml:space="preserve">Prüfgegenstand</w:t>
      </w:r>
    </w:p>
    <w:p>
      <w:pPr>
        <w:keepNext w:val="false"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https://wolf-agents.com/api/health</w:t>
      </w:r>
    </w:p>
    <w:p>
      <w:pPr>
        <w:keepNext w:val="false"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Prüfzeitpunkt: 06.10.2026, 22:32 Uhr (MESZ)</w:t>
      </w:r>
    </w:p>
    <w:p>
      <w:pPr>
        <w:keepNext w:val="false"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Dokument erzeugt am: 06.10.2026, 22:55 Uhr (MESZ)</w:t>
      </w:r>
    </w:p>
    <w:p>
      <w:pPr>
        <w:keepNext w:val="false"/>
        <w:keepLines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Die Erläuterungen in diesem Bericht wurden mit KI erstellt. Vorhandene Messwerte wurden automatisiert erhoben; Bewertungen folgen festen Regeln. Zur Entstehung: https://wolf-agents.com/ki-hinweis/</w:t>
      </w:r>
    </w:p>
    <w:p>
      <w:pPr>
        <w:keepNext w:val="false"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Katalogstand der Messung: 1.4</w:t>
      </w:r>
    </w:p>
    <w:p>
      <w:pPr>
        <w:keepNext w:val="false"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Reportdarstellung: 2026-10-05.legal-2</w:t>
      </w:r>
    </w:p>
    <w:p>
      <w:pPr>
        <w:keepNext w:val="false"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Scan-Kennung: 52a62d29-3718-4c38-a3dc-d45bc6f8123d</w:t>
      </w:r>
    </w:p>
    <w:p>
      <w:pPr>
        <w:keepNext w:val="false"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Reportmodell: 1.4</w:t>
      </w:r>
    </w:p>
    <w:p>
      <w:pPr>
        <w:keepNext w:val="false"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Vertraulichkeit: für den Empfänger und von ihm benannte Dritte</w:t>
      </w:r>
    </w:p>
    <w:p>
      <w:pPr>
        <w:keepNext w:val="false"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Aussteller: Wolf-Agents.com - kontakt@wolf-agents.com</w:t>
      </w:r>
    </w:p>
    <w:p>
      <w:pPr>
        <w:pBdr>
          <w:bottom w:val="single" w:color="C8C8C8" w:sz="6" w:space="1"/>
        </w:pBdr>
        <w:spacing w:after="120" w:before="120"/>
      </w:pPr>
    </w:p>
    <w:p>
      <w:pPr>
        <w:pStyle w:val="Heading1"/>
        <w:keepNext/>
        <w:keepLines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/>
          <w:bCs/>
          <w:color w:val="0D1A66"/>
          <w:sz w:val="26"/>
          <w:szCs w:val="26"/>
        </w:rPr>
        <w:t xml:space="preserve">Gesamtbild</w:t>
      </w:r>
    </w:p>
    <w:p>
      <w:pPr>
        <w:keepNext/>
        <w:keepLines/>
        <w:spacing w:after="60" w:before="60"/>
      </w:pPr>
      <w:r>
        <w:rPr>
          <w:rFonts w:ascii="DejaVu Sans" w:hAnsi="DejaVu Sans" w:eastAsia="Wolf Report CJK" w:cs="DejaVu Sans"/>
          <w:lang w:val="de-DE" w:eastAsia="de-DE"/>
          <w:b/>
          <w:bCs/>
          <w:sz w:val="56"/>
          <w:szCs w:val="56"/>
        </w:rPr>
        <w:t xml:space="preserve">A+</w:t>
      </w:r>
      <w:r>
        <w:rPr>
          <w:rFonts w:ascii="DejaVu Sans" w:hAnsi="DejaVu Sans" w:eastAsia="Wolf Report CJK" w:cs="DejaVu Sans"/>
          <w:lang w:val="de-DE" w:eastAsia="de-DE"/>
          <w:sz w:val="20"/>
          <w:szCs w:val="20"/>
        </w:rPr>
        <w:t xml:space="preserve">   100 von 100 Punkten - Exzellent</w:t>
      </w:r>
    </w:p>
    <w:p>
      <w:pPr>
        <w:keepNext w:val="false"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17 Prüfpunkte: 14 bestanden, 0 nicht bestanden, 2 nicht auswertbar, 1 Hinweis.</w:t>
      </w:r>
    </w:p>
    <w:p>
      <w:pPr>
        <w:keepNext w:val="false"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2 von 17 Prüfpunkten sind mit den gespeicherten Befunden nicht abschließend auswertbar. Die gespeicherte Produktpunktzahl wird aus dieser Befundbilanz nicht neu berechnet. Nicht auswertbare Checks gelten nicht als bestanden. Die Rate-Limit-Kategorie ist unbewertet. Das Abzugsmodell lässt den Gesamtscore unverändert, vergibt dafür aber keine bestätigten 15/15 Kategorienpunkte; die Gesamtnote belegt keine wirksame Drosselung.</w:t>
      </w:r>
    </w:p>
    <w:p>
      <w:pPr>
        <w:pBdr>
          <w:bottom w:val="single" w:color="C8C8C8" w:sz="6" w:space="1"/>
        </w:pBdr>
        <w:spacing w:after="120" w:before="120"/>
      </w:pPr>
    </w:p>
    <w:p>
      <w:pPr>
        <w:pStyle w:val="Heading1"/>
        <w:keepNext/>
        <w:keepLines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/>
          <w:bCs/>
          <w:color w:val="0D1A66"/>
          <w:sz w:val="26"/>
          <w:szCs w:val="26"/>
        </w:rPr>
        <w:t xml:space="preserve">Schneller Einstieg</w:t>
      </w:r>
    </w:p>
    <w:p>
      <w:pPr>
        <w:keepNext w:val="false"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18"/>
          <w:szCs w:val="18"/>
        </w:rPr>
        <w:t xml:space="preserve">Hinweise, nicht anwendbare und bestandene Checks stehen im vollständigen Katalog unten. Die Kennungen bezeichnen die Abschnitte auch im Ausdruck.</w:t>
      </w: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/>
          <w:bCs/>
          <w:sz w:val="20"/>
          <w:szCs w:val="20"/>
        </w:rPr>
        <w:t xml:space="preserve">Bestätigte negative Befunde</w:t>
      </w:r>
    </w:p>
    <w:p>
      <w:pPr>
        <w:keepNext w:val="false"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18"/>
          <w:szCs w:val="18"/>
        </w:rPr>
        <w:t xml:space="preserve">Im dokumentierten Prüfumfang sind keine bestätigten negativen Befunde enthalten.</w:t>
      </w: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/>
          <w:bCs/>
          <w:sz w:val="20"/>
          <w:szCs w:val="20"/>
        </w:rPr>
        <w:t xml:space="preserve">Offen / nicht auswertbar</w:t>
      </w:r>
    </w:p>
    <w:p>
      <w:pPr>
        <w:widowControl/>
        <w:spacing w:after="50"/>
      </w:pPr>
      <w:hyperlink w:history="1" w:anchor="check_e1a35db5f45c3131ee5548db8ec493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known-cve · nicht auswertbar · Server-Version gegen bekannte Schwachstellen</w:t>
        </w:r>
      </w:hyperlink>
    </w:p>
    <w:p>
      <w:pPr>
        <w:widowControl/>
        <w:spacing w:after="50"/>
      </w:pPr>
      <w:hyperlink w:history="1" w:anchor="check_80e80e57fce1bbb297b0fe739613c0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xst-vulnerability · nicht auswertbar · TRACE/TRACK-Methoden</w:t>
        </w:r>
      </w:hyperlink>
    </w:p>
    <w:p>
      <w:pPr>
        <w:pStyle w:val="Heading1"/>
        <w:keepNext/>
        <w:keepLines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/>
          <w:bCs/>
          <w:color w:val="0D1A66"/>
          <w:sz w:val="26"/>
          <w:szCs w:val="26"/>
        </w:rPr>
        <w:t xml:space="preserve">Grenzen der Aussage</w:t>
      </w:r>
    </w:p>
    <w:p>
      <w:pPr>
        <w:keepNext w:val="false"/>
        <w:keepLines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- Die Prüfung ist unauthentifiziert und erfolgt ausschließlich von außen.</w:t>
      </w:r>
    </w:p>
    <w:p>
      <w:pPr>
        <w:keepNext w:val="false"/>
        <w:keepLines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- Konservativer Konfigurationscheck für CORS, Sicherheitsheader und weitere sichtbare Signale an genau diesem öffentlichen API-Endpunkt: keine Endpoint-Suche, kein Crawling, kein Brute Force, kein Auth-Bypass, keine Autorisierungs- oder Geschäftslogikprüfung und kein Monitoring. Der Versionsabgleich nutzt eine lokale, unvollständige CVE-Auswahl (jüngster Eintrag 2024-08-14); kein Treffer bedeutet nicht schwachstellenfrei. Die hier verwendeten Erläuterungen stammen aus Katalog 1.4. Historische Punktzahlen und Noten werden nicht neu berechnet.</w:t>
      </w:r>
    </w:p>
    <w:p>
      <w:pPr>
        <w:keepNext w:val="false"/>
        <w:keepLines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- Dies ist kein Penetrationstest. Es wurde keine Schwachstelle aktiv ausgenutzt.</w:t>
      </w:r>
    </w:p>
    <w:p>
      <w:pPr>
        <w:keepNext w:val="false"/>
        <w:keepLines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- Kein Quellcode-, Infrastruktur- oder Prozessaudit.</w:t>
      </w:r>
    </w:p>
    <w:p>
      <w:pPr>
        <w:keepNext w:val="false"/>
        <w:keepLines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- Momentaufnahme zum genannten Zeitpunkt. Spätere Änderungen sind nicht erfasst.</w:t>
      </w:r>
    </w:p>
    <w:p>
      <w:pPr>
        <w:keepNext w:val="false"/>
        <w:keepLines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- Falschmeldungen sind möglich. Vorgeschaltete CDN-, WAF- oder Ratenbegrenzungs-Systeme können das Ergebnis verfälschen.</w:t>
      </w:r>
    </w:p>
    <w:p>
      <w:pPr>
        <w:keepNext w:val="false"/>
        <w:keepLines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- Prüfpunkte ohne auswertbaren Messbeleg, etwa bei nicht erreichbaren oder nicht antwortenden Systemen, erscheinen als „nicht auswertbar“ und nicht als „bestanden“.</w:t>
      </w:r>
    </w:p>
    <w:p>
      <w:pPr>
        <w:keepNext w:val="false"/>
        <w:keepLines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- Diese Einordnung ist allgemein gehalten und ersetzt keine Rechtsberatung.</w:t>
      </w:r>
    </w:p>
    <w:p>
      <w:pPr>
        <w:keepNext w:val="false"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Automatisierte Momentaufnahme im dokumentierten Prüfumfang. Kein Audit, keine Zertifizierung und keine Rechtsberatung. Gesetzliche Rechte bleiben unberührt. Messstand: 06.10.2026.</w:t>
      </w:r>
    </w:p>
    <w:p>
      <w:pPr>
        <w:keepNext w:val="false"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6"/>
          <w:szCs w:val="16"/>
        </w:rPr>
        <w:t xml:space="preserve">Belegnotation e1: Originalbackslashes werden verdoppelt; \u{HEX} steht für genau einen Unicode-Codepoint. Rohbelege stellen so jedes Leer-, Steuer-, kombinierende oder nicht unterstützte Zeichen ausdrücklich dar. Keine Normalisierung. Layoutumbrüche sind keine Originalzeichen. CSV-Rohfelder erhalten zusätzlich den vollständigen Belegtext; Cookie-Werte und Lokalteile von E-Mail-Adressen sind dort wie überall als *** ausgeblendet.</w:t>
      </w:r>
    </w:p>
    <w:p>
      <w:pPr>
        <w:pBdr>
          <w:bottom w:val="single" w:color="C8C8C8" w:sz="6" w:space="1"/>
        </w:pBdr>
        <w:spacing w:after="120" w:before="120"/>
      </w:pPr>
    </w:p>
    <w:p>
      <w:pPr>
        <w:pStyle w:val="Heading1"/>
        <w:keepNext/>
        <w:keepLines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/>
          <w:bCs/>
          <w:color w:val="0D1A66"/>
          <w:sz w:val="26"/>
          <w:szCs w:val="26"/>
        </w:rPr>
        <w:t xml:space="preserve">Bewertungsschema</w:t>
      </w:r>
    </w:p>
    <w:p>
      <w:pPr>
        <w:keepNext w:val="false"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Die folgende Skala gilt nur für nicht bestandene Prüfpunkte, nicht für Hinweise, nicht auswertbare oder nicht anwendbare Checks. Die Begriffe für Schadenspotenzial und Reaktionspriorität orientieren sich am BSI-Praxis-Leitfaden, Version 1.2, Abschnitt 4.1.3. Die Zuordnung der Scannerbefunde sowie Punkte und Note folgen unserer dokumentierten Bewertungsmethodik. Daraus entstehen keine gesetzlichen Fristen. hoch = sofort, mittel = kurzfristig, niedrig = mittelfristig, zur Information = langfristig. Die Punktzahl beginnt bei 100; bewertete Befunde ziehen entsprechend Schweregrad und Basisgewicht ab. Informationshinweise haben keinen Abzug. Fehlende sichtbare Rate-Limit-Signale lösen keinen Abzug aus, werden aber auch nicht als bestätigte Kategorienpunkte dargestellt; der unveränderte Gesamtscore belegt keine Drosselungswirkung. Gewichte und Notenkappen sind Produktmethodik, kein amtlicher Sicherheitsstandard und kein CVSS-Gesamtscore. Es wird bewusst KEIN CVSS-Wert vergeben - für Konfigurationsbefunde gibt es keine autoritative CVSS-Bewertung, und eine selbst gerechnete Zahl in der Notation eines Standards wäre eine Genauigkeit, die es nicht gibt.</w:t>
      </w:r>
    </w:p>
    <w:p>
      <w:pPr>
        <w:spacing w:after="120"/>
      </w:pPr>
      <w:hyperlink w:history="1" r:id="rId8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BSI – Ein Praxis-Leitfaden für IS-Penetrationstests · v1.2 (2016-11), Kap. 4.1.3, S. 25–26 · geprüft 2026-10-05 · https://www.bsi.bund.de/SharedDocs/Downloads/DE/BSI/Sicherheitsberatung/Pentest_Webcheck/Leitfaden_Penetrationstest.pdf?__blob=publicationFile&amp;v=3</w:t>
        </w:r>
      </w:hyperlink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/>
          <w:bCs/>
          <w:sz w:val="18"/>
          <w:szCs w:val="18"/>
        </w:rPr>
        <w:t xml:space="preserve">Zustände je Prüfpunkt: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[+] bestanden - im angegebenen Prüfumfang bestätigt; keine Abweichung belegt.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[!] nicht bestanden - Befund vorhanden.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[?] nicht auswertbar - für diesen Prüfpunkt liegt kein auswertbarer Messbeleg vor; das ist weder ein positiver noch ein negativer Befund. Der Einzelbefund nennt eine dokumentierte Messgrenze oder fehlende gespeicherte Angaben.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[i] Hinweis - beobachtetes Konfigurationssignal ohne nachgewiesenen Sicherheitsmangel.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[-] nicht anwendbar - für den beobachteten Antwortkontext nicht anwendbar; kein bestandener Sicherheitscheck.</w:t>
      </w:r>
    </w:p>
    <w:p>
      <w:pPr>
        <w:pBdr>
          <w:bottom w:val="single" w:color="C8C8C8" w:sz="6" w:space="1"/>
        </w:pBdr>
        <w:spacing w:after="120" w:before="120"/>
      </w:pPr>
    </w:p>
    <w:p>
      <w:pPr>
        <w:pStyle w:val="Heading1"/>
        <w:keepNext/>
        <w:keepLines/>
        <w:widowControl/>
        <w:spacing w:after="60" w:before="200"/>
      </w:pPr>
      <w:r>
        <w:rPr>
          <w:rFonts w:ascii="DejaVu Sans" w:hAnsi="DejaVu Sans" w:eastAsia="Wolf Report CJK" w:cs="DejaVu Sans"/>
          <w:lang w:val="de-DE" w:eastAsia="de-DE"/>
          <w:b/>
          <w:bCs/>
          <w:color w:val="0D1A66"/>
          <w:sz w:val="26"/>
          <w:szCs w:val="26"/>
        </w:rPr>
        <w:t xml:space="preserve">CORS-Konfiguration</w:t>
      </w: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25 von 25 Punkten</w:t>
      </w: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18"/>
          <w:szCs w:val="18"/>
        </w:rPr>
        <w:t xml:space="preserve">Cross-Origin Resource Sharing steuert, welche Browser-Herkünfte eine Antwort lesen dürfen. Der Check beobachtet die Header einer öffentlichen Antwort ohne Anmeldedaten; tatsächlicher Zugriff auf geschützte Daten wird nicht geprüft.</w:t>
      </w: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Im passiven Check wurde kein riskantes CORS-Muster an der eingegebenen URL erkannt. Das ist ein gutes Konfigurationssignal, ersetzt aber keine Prüfung der Authentifizierung oder weiterer Endpoints.</w:t>
      </w:r>
    </w:p>
    <w:p>
      <w:pPr>
        <w:pStyle w:val="Heading2"/>
        <w:keepNext/>
        <w:keepLines/>
        <w:widowControl/>
        <w:spacing w:after="60" w:before="70"/>
      </w:pPr>
      <w:bookmarkStart w:name="check_38e579f0b7f84d29d6c50363333bc5" w:id="1"/>
      <w:r>
        <w:rPr>
          <w:rFonts w:ascii="DejaVu Sans" w:hAnsi="DejaVu Sans" w:eastAsia="Wolf Report CJK" w:cs="DejaVu Sans"/>
          <w:lang w:val="de-DE" w:eastAsia="de-DE"/>
          <w:b/>
          <w:bCs/>
          <w:color w:val="057357"/>
          <w:sz w:val="20"/>
          <w:szCs w:val="20"/>
        </w:rPr>
        <w:t xml:space="preserve">[+] cors-wildcard-credentials · CORS mit Credentials für fremden Test-Origin oder null</w:t>
      </w:r>
      <w:bookmarkEnd w:id="1"/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Zustand: bestanden | Kennung: cors-wildcard-credentials | Regelgewichtung (kein aktueller negativer Befund): Kritisch | Schadenspotenzial: hoch | Gewicht: 25 Punkte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Geprüft wird: Ob eine GET-Antwort den fremden Test-Origin oder "null" zusammen mit exakt Access-Control-Allow-Credentials: true freigibt. Es werden keine Anmeldedaten gesendet und keine geschützten Daten abgerufen.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Referenzen: CWE-942 | OWASP API8:2023</w:t>
      </w:r>
    </w:p>
    <w:p>
      <w:pPr>
        <w:spacing w:after="60"/>
        <w:ind w:left="240"/>
      </w:pPr>
      <w:hyperlink w:history="1" r:id="rId9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Referenzen: OWASP API8:2023 · Fehlkonfiguration · Is the API Vulnerable? / How To Prevent · geprüft am 05.10.2026 · https://api-security.owasp.org/editions/2023/en/0xa8-security-misconfiguration/</w:t>
        </w:r>
      </w:hyperlink>
    </w:p>
    <w:p>
      <w:pPr>
        <w:pStyle w:val="Heading2"/>
        <w:keepNext/>
        <w:keepLines/>
        <w:widowControl/>
        <w:spacing w:after="60" w:before="70"/>
      </w:pPr>
      <w:bookmarkStart w:name="check_0522ec84a594615644c28ac2ace30e" w:id="2"/>
      <w:r>
        <w:rPr>
          <w:rFonts w:ascii="DejaVu Sans" w:hAnsi="DejaVu Sans" w:eastAsia="Wolf Report CJK" w:cs="DejaVu Sans"/>
          <w:lang w:val="de-DE" w:eastAsia="de-DE"/>
          <w:b/>
          <w:bCs/>
          <w:color w:val="057357"/>
          <w:sz w:val="20"/>
          <w:szCs w:val="20"/>
        </w:rPr>
        <w:t xml:space="preserve">[+] cors-wildcard-credentials-blocked · CORS: Wildcard mit Credentials (vom Browser blockiert)</w:t>
      </w:r>
      <w:bookmarkEnd w:id="2"/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Zustand: bestanden | Kennung: cors-wildcard-credentials-blocked | Regelgewichtung (kein aktueller negativer Befund): Niedrig | Schadenspotenzial: niedrig | Gewicht: 5 Punkte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Geprüft wird: Ob der Server das buchstäbliche "*" als erlaubte Herkunft sendet und gleichzeitig Credentials erlaubt — eine Kombination, die Browser verweigern und die deshalb Konfigurationshygiene betrifft, nicht Ausnutzbarkeit.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Referenzen: CWE-942 | OWASP API8:2023</w:t>
      </w:r>
    </w:p>
    <w:p>
      <w:pPr>
        <w:spacing w:after="60"/>
        <w:ind w:left="240"/>
      </w:pPr>
      <w:hyperlink w:history="1" r:id="rId10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Referenzen: OWASP API8:2023 · Fehlkonfiguration · Is the API Vulnerable? / How To Prevent · geprüft am 05.10.2026 · https://api-security.owasp.org/editions/2023/en/0xa8-security-misconfiguration/</w:t>
        </w:r>
      </w:hyperlink>
    </w:p>
    <w:p>
      <w:pPr>
        <w:pStyle w:val="Heading2"/>
        <w:keepNext/>
        <w:keepLines/>
        <w:widowControl/>
        <w:spacing w:after="60" w:before="70"/>
      </w:pPr>
      <w:bookmarkStart w:name="check_8f03a2ea84321f89104d869d253498" w:id="3"/>
      <w:r>
        <w:rPr>
          <w:rFonts w:ascii="DejaVu Sans" w:hAnsi="DejaVu Sans" w:eastAsia="Wolf Report CJK" w:cs="DejaVu Sans"/>
          <w:lang w:val="de-DE" w:eastAsia="de-DE"/>
          <w:b/>
          <w:bCs/>
          <w:color w:val="057357"/>
          <w:sz w:val="20"/>
          <w:szCs w:val="20"/>
        </w:rPr>
        <w:t xml:space="preserve">[+] cors-wildcard · CORS: Wildcard-Origin</w:t>
      </w:r>
      <w:bookmarkEnd w:id="3"/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Zustand: bestanden | Kennung: cors-wildcard | Regelgewichtung (kein aktueller negativer Befund): Info | Schadenspotenzial: zur Information | Gewicht: 0 Punkte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Geprüft wird: Ob der Server Cross-Origin-Anfragen von jeder Domain erlaubt (Access-Control-Allow-Origin: *), ohne Credentials.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Referenzen: CWE-942 | OWASP API8:2023</w:t>
      </w:r>
    </w:p>
    <w:p>
      <w:pPr>
        <w:spacing w:after="60"/>
        <w:ind w:left="240"/>
      </w:pPr>
      <w:hyperlink w:history="1" r:id="rId11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Referenzen: OWASP API8:2023 · Fehlkonfiguration · Is the API Vulnerable? / How To Prevent · geprüft am 05.10.2026 · https://api-security.owasp.org/editions/2023/en/0xa8-security-misconfiguration/</w:t>
        </w:r>
      </w:hyperlink>
    </w:p>
    <w:p>
      <w:pPr>
        <w:pStyle w:val="Heading2"/>
        <w:keepNext/>
        <w:keepLines/>
        <w:widowControl/>
        <w:spacing w:after="60" w:before="70"/>
      </w:pPr>
      <w:bookmarkStart w:name="check_cb8ce3adef853917ecfe801634533b" w:id="4"/>
      <w:r>
        <w:rPr>
          <w:rFonts w:ascii="DejaVu Sans" w:hAnsi="DejaVu Sans" w:eastAsia="Wolf Report CJK" w:cs="DejaVu Sans"/>
          <w:lang w:val="de-DE" w:eastAsia="de-DE"/>
          <w:b/>
          <w:bCs/>
          <w:color w:val="057357"/>
          <w:sz w:val="20"/>
          <w:szCs w:val="20"/>
        </w:rPr>
        <w:t xml:space="preserve">[+] cors-origin-reflection · CORS: Origin-Reflection</w:t>
      </w:r>
      <w:bookmarkEnd w:id="4"/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Zustand: bestanden | Kennung: cors-origin-reflection | Regelgewichtung (kein aktueller negativer Befund): Info | Schadenspotenzial: zur Information | Gewicht: 0 Punkte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Geprüft wird: Ob die GET-Antwort einen fremden Test-Origin zurückgibt. Eine einzelne Beobachtung beweist weder beliebige Reflection noch das Fehlen einer internen Allowlist.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Referenzen: CWE-942 | OWASP API8:2023</w:t>
      </w:r>
    </w:p>
    <w:p>
      <w:pPr>
        <w:spacing w:after="60"/>
        <w:ind w:left="240"/>
      </w:pPr>
      <w:hyperlink w:history="1" r:id="rId12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Referenzen: OWASP API8:2023 · Fehlkonfiguration · Is the API Vulnerable? / How To Prevent · geprüft am 05.10.2026 · https://api-security.owasp.org/editions/2023/en/0xa8-security-misconfiguration/</w:t>
        </w:r>
      </w:hyperlink>
    </w:p>
    <w:p>
      <w:pPr>
        <w:pStyle w:val="Heading2"/>
        <w:keepNext/>
        <w:keepLines/>
        <w:widowControl/>
        <w:spacing w:after="60" w:before="70"/>
      </w:pPr>
      <w:bookmarkStart w:name="check_8de4da98c66004ec4adeb628e2a6af" w:id="5"/>
      <w:r>
        <w:rPr>
          <w:rFonts w:ascii="DejaVu Sans" w:hAnsi="DejaVu Sans" w:eastAsia="Wolf Report CJK" w:cs="DejaVu Sans"/>
          <w:lang w:val="de-DE" w:eastAsia="de-DE"/>
          <w:b/>
          <w:bCs/>
          <w:color w:val="057357"/>
          <w:sz w:val="20"/>
          <w:szCs w:val="20"/>
        </w:rPr>
        <w:t xml:space="preserve">[+] cors-null-origin · CORS: Null-Origin akzeptiert</w:t>
      </w:r>
      <w:bookmarkEnd w:id="5"/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Zustand: bestanden | Kennung: cors-null-origin | Regelgewichtung (kein aktueller negativer Befund): Info | Schadenspotenzial: zur Information | Gewicht: 0 Punkte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Geprüft wird: Ob der Server den Origin "null" als erlaubte Herkunft akzeptiert — ohne Credentials.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Referenzen: CWE-942 | OWASP API8:2023</w:t>
      </w:r>
    </w:p>
    <w:p>
      <w:pPr>
        <w:spacing w:after="60"/>
        <w:ind w:left="240"/>
      </w:pPr>
      <w:hyperlink w:history="1" r:id="rId13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Referenzen: OWASP API8:2023 · Fehlkonfiguration · Is the API Vulnerable? / How To Prevent · geprüft am 05.10.2026 · https://api-security.owasp.org/editions/2023/en/0xa8-security-misconfiguration/</w:t>
        </w:r>
      </w:hyperlink>
    </w:p>
    <w:p>
      <w:pPr>
        <w:pBdr>
          <w:bottom w:val="single" w:color="C8C8C8" w:sz="6" w:space="1"/>
        </w:pBdr>
        <w:spacing w:after="120" w:before="120"/>
      </w:pPr>
    </w:p>
    <w:p>
      <w:pPr>
        <w:pStyle w:val="Heading1"/>
        <w:keepNext/>
        <w:keepLines/>
        <w:widowControl/>
        <w:spacing w:after="60" w:before="200"/>
      </w:pPr>
      <w:r>
        <w:rPr>
          <w:rFonts w:ascii="DejaVu Sans" w:hAnsi="DejaVu Sans" w:eastAsia="Wolf Report CJK" w:cs="DejaVu Sans"/>
          <w:lang w:val="de-DE" w:eastAsia="de-DE"/>
          <w:b/>
          <w:bCs/>
          <w:color w:val="0D1A66"/>
          <w:sz w:val="26"/>
          <w:szCs w:val="26"/>
        </w:rPr>
        <w:t xml:space="preserve">API-Headers</w:t>
      </w: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18 von 18 Punkten</w:t>
      </w: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18"/>
          <w:szCs w:val="18"/>
        </w:rPr>
        <w:t xml:space="preserve">Sicherheitsrelevante Header wie X-Content-Type-Options und Cache-Control schützen vor MIME-Sniffing und ungewolltem Caching.</w:t>
      </w: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Die geprüften API-Header zeigen ein gutes Signal: nosniff, Cache-Control und Content-Type wirken im passiven Scope plausibel konfiguriert.</w:t>
      </w:r>
    </w:p>
    <w:p>
      <w:pPr>
        <w:pStyle w:val="Heading2"/>
        <w:keepNext/>
        <w:keepLines/>
        <w:widowControl/>
        <w:spacing w:after="60" w:before="70"/>
      </w:pPr>
      <w:bookmarkStart w:name="check_67c88d5372a05fdd521aed51582f19" w:id="6"/>
      <w:r>
        <w:rPr>
          <w:rFonts w:ascii="DejaVu Sans" w:hAnsi="DejaVu Sans" w:eastAsia="Wolf Report CJK" w:cs="DejaVu Sans"/>
          <w:lang w:val="de-DE" w:eastAsia="de-DE"/>
          <w:b/>
          <w:bCs/>
          <w:color w:val="057357"/>
          <w:sz w:val="20"/>
          <w:szCs w:val="20"/>
        </w:rPr>
        <w:t xml:space="preserve">[+] api-response-cacheable · Cookie-setzende Antwort und geteiltes Caching</w:t>
      </w:r>
      <w:bookmarkEnd w:id="6"/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Zustand: bestanden | Kennung: api-response-cacheable | Regelgewichtung (kein aktueller negativer Befund): Mittel | Schadenspotenzial: mittel | Gewicht: 8 Punkte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Geprüft wird: Ob eine Antwort, die ein Cookie setzt, gleichzeitig von einem geteilten Cache (Proxy/CDN) gespeichert werden darf.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Referenzen: CWE-524 | OWASP API8:2023</w:t>
      </w:r>
    </w:p>
    <w:p>
      <w:pPr>
        <w:spacing w:after="60"/>
        <w:ind w:left="240"/>
      </w:pPr>
      <w:hyperlink w:history="1" r:id="rId14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Referenzen: OWASP API8:2023 · Fehlkonfiguration · Is the API Vulnerable? / How To Prevent · geprüft am 05.10.2026 · https://api-security.owasp.org/editions/2023/en/0xa8-security-misconfiguration/</w:t>
        </w:r>
      </w:hyperlink>
    </w:p>
    <w:p>
      <w:pPr>
        <w:pStyle w:val="Heading2"/>
        <w:keepNext/>
        <w:keepLines/>
        <w:widowControl/>
        <w:spacing w:after="60" w:before="70"/>
      </w:pPr>
      <w:bookmarkStart w:name="check_3ddd130a9e94fe45a958a7f7ed7a9c" w:id="7"/>
      <w:r>
        <w:rPr>
          <w:rFonts w:ascii="DejaVu Sans" w:hAnsi="DejaVu Sans" w:eastAsia="Wolf Report CJK" w:cs="DejaVu Sans"/>
          <w:lang w:val="de-DE" w:eastAsia="de-DE"/>
          <w:b/>
          <w:bCs/>
          <w:color w:val="057357"/>
          <w:sz w:val="20"/>
          <w:szCs w:val="20"/>
        </w:rPr>
        <w:t xml:space="preserve">[+] missing-nosniff · X-Content-Type-Options: nosniff</w:t>
      </w:r>
      <w:bookmarkEnd w:id="7"/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Zustand: bestanden | Kennung: missing-nosniff | Regelgewichtung (kein aktueller negativer Befund): Niedrig | Schadenspotenzial: niedrig | Gewicht: 5 Punkte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Geprüft wird: Ob die Antwort den Header X-Content-Type-Options: nosniff setzt und damit MIME-Sniffing im Browser unterbindet.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Referenzen: CWE-16</w:t>
      </w:r>
    </w:p>
    <w:p>
      <w:pPr>
        <w:spacing w:after="60"/>
        <w:ind w:left="240"/>
      </w:pPr>
      <w:hyperlink w:history="1" r:id="rId15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Referenzen: OWASP HTTP Headers Cheat Sheet · x-content-type-options · geprüft am 05.10.2026 · https://cheatsheetseries.owasp.org/cheatsheets/HTTP_Headers_Cheat_Sheet.html#x-content-type-options</w:t>
        </w:r>
      </w:hyperlink>
    </w:p>
    <w:p>
      <w:pPr>
        <w:pStyle w:val="Heading2"/>
        <w:keepNext/>
        <w:keepLines/>
        <w:widowControl/>
        <w:spacing w:after="60" w:before="70"/>
      </w:pPr>
      <w:bookmarkStart w:name="check_ff343f62bbd4b219cbd9c0ab31b6f0" w:id="8"/>
      <w:r>
        <w:rPr>
          <w:rFonts w:ascii="DejaVu Sans" w:hAnsi="DejaVu Sans" w:eastAsia="Wolf Report CJK" w:cs="DejaVu Sans"/>
          <w:lang w:val="de-DE" w:eastAsia="de-DE"/>
          <w:b/>
          <w:bCs/>
          <w:color w:val="057357"/>
          <w:sz w:val="20"/>
          <w:szCs w:val="20"/>
        </w:rPr>
        <w:t xml:space="preserve">[+] missing-content-type · Content-Type der API-Antwort</w:t>
      </w:r>
      <w:bookmarkEnd w:id="8"/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Zustand: bestanden | Kennung: missing-content-type | Regelgewichtung (kein aktueller negativer Befund): Niedrig | Schadenspotenzial: niedrig | Gewicht: 3 Punkte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Geprüft wird: Ob eine Antwort mit Repräsentation einen syntaktisch gültigen Medientyp sendet. JSON, XML, Text und Binärdaten können legitime API-Formate sein; Antworten ohne Repräsentation benötigen hierfür keinen Header.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Referenzen: CWE-16</w:t>
      </w:r>
    </w:p>
    <w:p>
      <w:pPr>
        <w:spacing w:after="60"/>
        <w:ind w:left="240"/>
      </w:pPr>
      <w:hyperlink w:history="1" r:id="rId16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Referenzen: OWASP HTTP Headers Cheat Sheet · content-type · geprüft am 05.10.2026 · https://cheatsheetseries.owasp.org/cheatsheets/HTTP_Headers_Cheat_Sheet.html#content-type</w:t>
        </w:r>
      </w:hyperlink>
    </w:p>
    <w:p>
      <w:pPr>
        <w:pBdr>
          <w:bottom w:val="single" w:color="C8C8C8" w:sz="6" w:space="1"/>
        </w:pBdr>
        <w:spacing w:after="120" w:before="120"/>
      </w:pPr>
    </w:p>
    <w:p>
      <w:pPr>
        <w:pStyle w:val="Heading1"/>
        <w:keepNext/>
        <w:keepLines/>
        <w:widowControl/>
        <w:spacing w:after="60" w:before="200"/>
      </w:pPr>
      <w:r>
        <w:rPr>
          <w:rFonts w:ascii="DejaVu Sans" w:hAnsi="DejaVu Sans" w:eastAsia="Wolf Report CJK" w:cs="DejaVu Sans"/>
          <w:lang w:val="de-DE" w:eastAsia="de-DE"/>
          <w:b/>
          <w:bCs/>
          <w:color w:val="0D1A66"/>
          <w:sz w:val="26"/>
          <w:szCs w:val="26"/>
        </w:rPr>
        <w:t xml:space="preserve">Error-Handling</w:t>
      </w: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17 von 17 Punkten</w:t>
      </w: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18"/>
          <w:szCs w:val="18"/>
        </w:rPr>
        <w:t xml:space="preserve">Detaillierte Fehlermeldungen wie Stack Traces oder Datenbankfehler geben Angreifern wertvolle Informationen über Ihre Systemarchitektur.</w:t>
      </w: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Der einzelne konservative Fehlerantwort-Check hat keine Stack Traces, Datenbankfehler oder internen Pfade erkannt. Das ist kein Fuzzing und keine vollständige Error-Handling-Prüfung.</w:t>
      </w:r>
    </w:p>
    <w:p>
      <w:pPr>
        <w:pStyle w:val="Heading2"/>
        <w:keepNext/>
        <w:keepLines/>
        <w:widowControl/>
        <w:spacing w:after="60" w:before="70"/>
      </w:pPr>
      <w:bookmarkStart w:name="check_2c0cdd633e321858fce451a1da7fda" w:id="9"/>
      <w:r>
        <w:rPr>
          <w:rFonts w:ascii="DejaVu Sans" w:hAnsi="DejaVu Sans" w:eastAsia="Wolf Report CJK" w:cs="DejaVu Sans"/>
          <w:lang w:val="de-DE" w:eastAsia="de-DE"/>
          <w:b/>
          <w:bCs/>
          <w:color w:val="057357"/>
          <w:sz w:val="20"/>
          <w:szCs w:val="20"/>
        </w:rPr>
        <w:t xml:space="preserve">[+] stack-trace-exposure · Stack Traces in Fehlerantworten</w:t>
      </w:r>
      <w:bookmarkEnd w:id="9"/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Zustand: bestanden | Kennung: stack-trace-exposure | Regelgewichtung (kein aktueller negativer Befund): Hoch | Schadenspotenzial: hoch | Gewicht: 15 Punkte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Geprüft wird: Ob eine Fehlerantwort der API Stack Traces enthält und damit Dateinamen, Funktionen und die eingesetzte Technologie preisgibt.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Referenzen: CWE-209 | OWASP API8:2023</w:t>
      </w:r>
    </w:p>
    <w:p>
      <w:pPr>
        <w:spacing w:after="60"/>
        <w:ind w:left="240"/>
      </w:pPr>
      <w:hyperlink w:history="1" r:id="rId17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Referenzen: OWASP API8:2023 · Fehlkonfiguration · Is the API Vulnerable? / How To Prevent · geprüft am 05.10.2026 · https://api-security.owasp.org/editions/2023/en/0xa8-security-misconfiguration/</w:t>
        </w:r>
      </w:hyperlink>
    </w:p>
    <w:p>
      <w:pPr>
        <w:pStyle w:val="Heading2"/>
        <w:keepNext/>
        <w:keepLines/>
        <w:widowControl/>
        <w:spacing w:after="60" w:before="70"/>
      </w:pPr>
      <w:bookmarkStart w:name="check_1aaa2481f0062ecbb54fb76fca839d" w:id="10"/>
      <w:r>
        <w:rPr>
          <w:rFonts w:ascii="DejaVu Sans" w:hAnsi="DejaVu Sans" w:eastAsia="Wolf Report CJK" w:cs="DejaVu Sans"/>
          <w:lang w:val="de-DE" w:eastAsia="de-DE"/>
          <w:b/>
          <w:bCs/>
          <w:color w:val="057357"/>
          <w:sz w:val="20"/>
          <w:szCs w:val="20"/>
        </w:rPr>
        <w:t xml:space="preserve">[+] database-error-exposure · Datenbank-Fehlermeldungen in Antworten</w:t>
      </w:r>
      <w:bookmarkEnd w:id="10"/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Zustand: bestanden | Kennung: database-error-exposure | Regelgewichtung (kein aktueller negativer Befund): Hoch | Schadenspotenzial: hoch | Gewicht: 12 Punkte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Geprüft wird: Ob eine Fehlerantwort der API Datenbankmeldungen enthält und damit Tabellen-, Spaltennamen oder SQL preisgibt.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Referenzen: CWE-209 | OWASP API8:2023</w:t>
      </w:r>
    </w:p>
    <w:p>
      <w:pPr>
        <w:spacing w:after="60"/>
        <w:ind w:left="240"/>
      </w:pPr>
      <w:hyperlink w:history="1" r:id="rId18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Referenzen: OWASP API8:2023 · Fehlkonfiguration · Is the API Vulnerable? / How To Prevent · geprüft am 05.10.2026 · https://api-security.owasp.org/editions/2023/en/0xa8-security-misconfiguration/</w:t>
        </w:r>
      </w:hyperlink>
    </w:p>
    <w:p>
      <w:pPr>
        <w:pStyle w:val="Heading2"/>
        <w:keepNext/>
        <w:keepLines/>
        <w:widowControl/>
        <w:spacing w:after="60" w:before="70"/>
      </w:pPr>
      <w:bookmarkStart w:name="check_8a99e7eaa3516667ecf2cc503720b1" w:id="11"/>
      <w:r>
        <w:rPr>
          <w:rFonts w:ascii="DejaVu Sans" w:hAnsi="DejaVu Sans" w:eastAsia="Wolf Report CJK" w:cs="DejaVu Sans"/>
          <w:lang w:val="de-DE" w:eastAsia="de-DE"/>
          <w:b/>
          <w:bCs/>
          <w:color w:val="057357"/>
          <w:sz w:val="20"/>
          <w:szCs w:val="20"/>
        </w:rPr>
        <w:t xml:space="preserve">[+] debug-info-exposure · Debug-Informationen in Antworten</w:t>
      </w:r>
      <w:bookmarkEnd w:id="11"/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Zustand: bestanden | Kennung: debug-info-exposure | Regelgewichtung (kein aktueller negativer Befund): Mittel | Schadenspotenzial: mittel | Gewicht: 10 Punkte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Geprüft wird: Ob die API Debug-Ausgaben liefert, die nur in Entwicklungsumgebungen sichtbar sein sollten.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Referenzen: CWE-489 | OWASP API8:2023</w:t>
      </w:r>
    </w:p>
    <w:p>
      <w:pPr>
        <w:spacing w:after="60"/>
        <w:ind w:left="240"/>
      </w:pPr>
      <w:hyperlink w:history="1" r:id="rId19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Referenzen: OWASP API8:2023 · Fehlkonfiguration · Is the API Vulnerable? / How To Prevent · geprüft am 05.10.2026 · https://api-security.owasp.org/editions/2023/en/0xa8-security-misconfiguration/</w:t>
        </w:r>
      </w:hyperlink>
    </w:p>
    <w:p>
      <w:pPr>
        <w:pStyle w:val="Heading2"/>
        <w:keepNext/>
        <w:keepLines/>
        <w:widowControl/>
        <w:spacing w:after="60" w:before="70"/>
      </w:pPr>
      <w:bookmarkStart w:name="check_bbb7398123ee1fdd8e631611fcec55" w:id="12"/>
      <w:r>
        <w:rPr>
          <w:rFonts w:ascii="DejaVu Sans" w:hAnsi="DejaVu Sans" w:eastAsia="Wolf Report CJK" w:cs="DejaVu Sans"/>
          <w:lang w:val="de-DE" w:eastAsia="de-DE"/>
          <w:b/>
          <w:bCs/>
          <w:color w:val="057357"/>
          <w:sz w:val="20"/>
          <w:szCs w:val="20"/>
        </w:rPr>
        <w:t xml:space="preserve">[+] internal-path-exposure · Interne Dateipfade in Antworten</w:t>
      </w:r>
      <w:bookmarkEnd w:id="12"/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Zustand: bestanden | Kennung: internal-path-exposure | Regelgewichtung (kein aktueller negativer Befund): Mittel | Schadenspotenzial: mittel | Gewicht: 8 Punkte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Geprüft wird: Ob eine Fehlerantwort absolute Serverpfade enthält und damit Betriebssystem und Verzeichnisstruktur preisgibt.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Referenzen: CWE-200 | OWASP API8:2023</w:t>
      </w:r>
    </w:p>
    <w:p>
      <w:pPr>
        <w:spacing w:after="60"/>
        <w:ind w:left="240"/>
      </w:pPr>
      <w:hyperlink w:history="1" r:id="rId20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Referenzen: OWASP API8:2023 · Fehlkonfiguration · Is the API Vulnerable? / How To Prevent · geprüft am 05.10.2026 · https://api-security.owasp.org/editions/2023/en/0xa8-security-misconfiguration/</w:t>
        </w:r>
      </w:hyperlink>
    </w:p>
    <w:p>
      <w:pPr>
        <w:pBdr>
          <w:bottom w:val="single" w:color="C8C8C8" w:sz="6" w:space="1"/>
        </w:pBdr>
        <w:spacing w:after="120" w:before="120"/>
      </w:pPr>
    </w:p>
    <w:p>
      <w:pPr>
        <w:pStyle w:val="Heading1"/>
        <w:keepNext/>
        <w:keepLines/>
        <w:widowControl/>
        <w:spacing w:after="60" w:before="200"/>
      </w:pPr>
      <w:r>
        <w:rPr>
          <w:rFonts w:ascii="DejaVu Sans" w:hAnsi="DejaVu Sans" w:eastAsia="Wolf Report CJK" w:cs="DejaVu Sans"/>
          <w:lang w:val="de-DE" w:eastAsia="de-DE"/>
          <w:b/>
          <w:bCs/>
          <w:color w:val="0D1A66"/>
          <w:sz w:val="26"/>
          <w:szCs w:val="26"/>
        </w:rPr>
        <w:t xml:space="preserve">Rate-Limiting</w:t>
      </w: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Teilbefunde vorhanden; keine belastbare Kategorienpunktzahl. Nicht auswertbare Aspekte sind einzeln gekennzeichnet.</w:t>
      </w: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18"/>
          <w:szCs w:val="18"/>
        </w:rPr>
        <w:t xml:space="preserve">Rate-Limiting reduziert Risiken durch Überlastung, Scraping und automatisierte Fehlversuche. Dieser Check bewertet nur sichtbare Rate-Limit-Header. In diesem Lauf blieb die Kategorie unbewertet: Ein fehlendes sichtbares Signal ist weder ein Schutzbeleg noch der Nachweis einer fehlenden Drosselung.</w:t>
      </w:r>
    </w:p>
    <w:p>
      <w:pPr>
        <w:pStyle w:val="Heading2"/>
        <w:keepNext/>
        <w:keepLines/>
        <w:widowControl/>
        <w:spacing w:after="60" w:before="140"/>
      </w:pPr>
      <w:bookmarkStart w:name="check_a335a3cab14b6657ae8e2cc8c23cd1" w:id="13"/>
      <w:r>
        <w:rPr>
          <w:rFonts w:ascii="DejaVu Sans" w:hAnsi="DejaVu Sans" w:eastAsia="Wolf Report CJK" w:cs="DejaVu Sans"/>
          <w:lang w:val="de-DE" w:eastAsia="de-DE"/>
          <w:b/>
          <w:bCs/>
          <w:color w:val="595959"/>
          <w:sz w:val="20"/>
          <w:szCs w:val="20"/>
        </w:rPr>
        <w:t xml:space="preserve">[i] no-rate-limiting · Rate-Limit-Header</w:t>
      </w:r>
      <w:bookmarkEnd w:id="13"/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Zustand: Hinweis | Kennung: no-rate-limiting | Regelgewichtung (kein aktueller negativer Befund): Info | Schadenspotenzial: zur Information | Gewicht: 0 Punkte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[no-rate-limiting] Geprüft wird: Ob die Antwort Rate-Limit-Signale sendet (RateLimit, RateLimit-Policy, ältere RateLimit-*/X-RateLimit-* oder HTTP 429). Geprüft wird die Sichtbarkeit des Schutzes, nicht seine Wirksamkeit — es läuft kein Belastungstest.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/>
          <w:bCs/>
          <w:sz w:val="20"/>
          <w:szCs w:val="20"/>
        </w:rPr>
        <w:t xml:space="preserve">[no-rate-limiting] Befund: Keine Rate-Limit-Header erkannt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[no-rate-limiting] In der Antwort wurden keine unterstützten Rate-Limit-Signale erkannt. Daraus lässt sich nicht ableiten, ob eine Drosselung fehlt: Limits können unsichtbar, nutzerabhängig oder erst bei Überschreitung erkennbar sein.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[no-rate-limiting] Auswirkung: Nur falls wirksame Begrenzungen fehlen, können automatisierte Anfragen Kosten oder Überlastung verursachen. Dieser Scan weist das Fehlen solcher Begrenzungen nicht nach.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Empfehlung [no-rate-limiting]: Prüfen und dokumentieren Sie vorhandene Quoten und den Client-Backoff. Der aktive IETF-Entwurf draft-ietf-httpapi-ratelimit-headers-11 (23.05.2026) verwendet RateLimit und RateLimit-Policy; er ist noch kein RFC. Retry-After kann bei HTTP 429 die Wartezeit als Sekunden oder HTTP-Datum nennen.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[no-rate-limiting] Referenzen: CWE-770 | OWASP API4:2023</w:t>
      </w:r>
    </w:p>
    <w:p>
      <w:pPr>
        <w:spacing w:after="60"/>
        <w:ind w:left="240"/>
      </w:pPr>
      <w:hyperlink w:history="1" r:id="rId21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Referenzen: OWASP API4:2023 · Unbegrenzter Ressourcenverbrauch · Is the API Vulnerable? / How To Prevent · geprüft am 05.10.2026 · https://api-security.owasp.org/editions/2023/en/0xa4-unrestricted-resource-consumption/</w:t>
        </w:r>
      </w:hyperlink>
    </w:p>
    <w:p>
      <w:pPr>
        <w:pBdr>
          <w:bottom w:val="single" w:color="C8C8C8" w:sz="6" w:space="1"/>
        </w:pBdr>
        <w:spacing w:after="120" w:before="120"/>
      </w:pPr>
    </w:p>
    <w:p>
      <w:pPr>
        <w:pStyle w:val="Heading1"/>
        <w:keepNext/>
        <w:keepLines/>
        <w:widowControl/>
        <w:spacing w:after="60" w:before="200"/>
      </w:pPr>
      <w:r>
        <w:rPr>
          <w:rFonts w:ascii="DejaVu Sans" w:hAnsi="DejaVu Sans" w:eastAsia="Wolf Report CJK" w:cs="DejaVu Sans"/>
          <w:lang w:val="de-DE" w:eastAsia="de-DE"/>
          <w:b/>
          <w:bCs/>
          <w:color w:val="0D1A66"/>
          <w:sz w:val="26"/>
          <w:szCs w:val="26"/>
        </w:rPr>
        <w:t xml:space="preserve">Server-Informationen</w:t>
      </w: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Teilbefunde vorhanden; keine belastbare Kategorienpunktzahl. Nicht auswertbare Aspekte sind einzeln gekennzeichnet.</w:t>
      </w: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18"/>
          <w:szCs w:val="18"/>
        </w:rPr>
        <w:t xml:space="preserve">Server-Header können Versionsinformationen preisgeben, die Angreifer zur Identifikation bekannter Schwachstellen (CVEs) nutzen.</w:t>
      </w:r>
    </w:p>
    <w:p>
      <w:pPr>
        <w:pStyle w:val="Heading2"/>
        <w:keepNext/>
        <w:keepLines/>
        <w:widowControl/>
        <w:spacing w:after="60" w:before="140"/>
      </w:pPr>
      <w:bookmarkStart w:name="check_e1a35db5f45c3131ee5548db8ec493" w:id="14"/>
      <w:r>
        <w:rPr>
          <w:rFonts w:ascii="DejaVu Sans" w:hAnsi="DejaVu Sans" w:eastAsia="Wolf Report CJK" w:cs="DejaVu Sans"/>
          <w:lang w:val="de-DE" w:eastAsia="de-DE"/>
          <w:b/>
          <w:bCs/>
          <w:color w:val="595959"/>
          <w:sz w:val="20"/>
          <w:szCs w:val="20"/>
        </w:rPr>
        <w:t xml:space="preserve">[?] known-cve · Server-Version gegen bekannte Schwachstellen</w:t>
      </w:r>
      <w:bookmarkEnd w:id="14"/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Zustand: nicht auswertbar | Kennung: known-cve | Regelgewichtung (kein aktueller negativer Befund): Hoch | Schadenspotenzial: hoch | Gewicht: 15 Punkte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Geprüft wird: Ob die aus dem Server-Header gelesene Version in den Versionsbereich öffentlich bekannter Schwachstellen fällt. Rein versionsbasiert — kein Beweis einer aktiven Verwundbarkeit.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20"/>
          <w:szCs w:val="20"/>
        </w:rPr>
        <w:t xml:space="preserve">Keine ausreichend genaue Produktversion oder keine Einträge für dieses Produkt in der lokalen CVE-Auswahl. Ein Schwachstellenabgleich konnte nicht erfolgen.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Referenzen: CWE-1035 | OWASP API8:2023</w:t>
      </w:r>
    </w:p>
    <w:p>
      <w:pPr>
        <w:spacing w:after="60"/>
        <w:ind w:left="240"/>
      </w:pPr>
      <w:hyperlink w:history="1" r:id="rId22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Referenzen: OWASP API8:2023 · Fehlkonfiguration · Is the API Vulnerable? / How To Prevent · geprüft am 05.10.2026 · https://api-security.owasp.org/editions/2023/en/0xa8-security-misconfiguration/</w:t>
        </w:r>
      </w:hyperlink>
    </w:p>
    <w:p>
      <w:pPr>
        <w:pStyle w:val="Heading2"/>
        <w:keepNext/>
        <w:keepLines/>
        <w:widowControl/>
        <w:spacing w:after="60" w:before="70"/>
      </w:pPr>
      <w:bookmarkStart w:name="check_4e7b409ca0bbbbe11fda897f6e739f" w:id="15"/>
      <w:r>
        <w:rPr>
          <w:rFonts w:ascii="DejaVu Sans" w:hAnsi="DejaVu Sans" w:eastAsia="Wolf Report CJK" w:cs="DejaVu Sans"/>
          <w:lang w:val="de-DE" w:eastAsia="de-DE"/>
          <w:b/>
          <w:bCs/>
          <w:color w:val="057357"/>
          <w:sz w:val="20"/>
          <w:szCs w:val="20"/>
        </w:rPr>
        <w:t xml:space="preserve">[+] server-version-exposed · Server-Header mit Versionsangabe</w:t>
      </w:r>
      <w:bookmarkEnd w:id="15"/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Zustand: bestanden | Kennung: server-version-exposed | Regelgewichtung (kein aktueller negativer Befund): Niedrig | Schadenspotenzial: niedrig | Gewicht: 5 Punkte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Geprüft wird: Ob der Server-Header eine Produktversion nennt und damit gezielte Schwachstellensuche erleichtert.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Referenzen: CWE-200</w:t>
      </w:r>
    </w:p>
    <w:p>
      <w:pPr>
        <w:spacing w:after="60"/>
        <w:ind w:left="240"/>
      </w:pPr>
      <w:hyperlink w:history="1" r:id="rId23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Referenzen: OWASP HTTP Headers Cheat Sheet · server · geprüft am 05.10.2026 · https://cheatsheetseries.owasp.org/cheatsheets/HTTP_Headers_Cheat_Sheet.html#server</w:t>
        </w:r>
      </w:hyperlink>
    </w:p>
    <w:p>
      <w:pPr>
        <w:pStyle w:val="Heading2"/>
        <w:keepNext/>
        <w:keepLines/>
        <w:widowControl/>
        <w:spacing w:after="60" w:before="70"/>
      </w:pPr>
      <w:bookmarkStart w:name="check_113763cce4e6684a9b05bdfb2bec7d" w:id="16"/>
      <w:r>
        <w:rPr>
          <w:rFonts w:ascii="DejaVu Sans" w:hAnsi="DejaVu Sans" w:eastAsia="Wolf Report CJK" w:cs="DejaVu Sans"/>
          <w:lang w:val="de-DE" w:eastAsia="de-DE"/>
          <w:b/>
          <w:bCs/>
          <w:color w:val="057357"/>
          <w:sz w:val="20"/>
          <w:szCs w:val="20"/>
        </w:rPr>
        <w:t xml:space="preserve">[+] powered-by-exposed · X-Powered-By-Header</w:t>
      </w:r>
      <w:bookmarkEnd w:id="16"/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Zustand: bestanden | Kennung: powered-by-exposed | Regelgewichtung (kein aktueller negativer Befund): Niedrig | Schadenspotenzial: niedrig | Gewicht: 5 Punkte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Geprüft wird: Ob die Antwort einen X-Powered-By-Header sendet und damit die eingesetzte Technologie nennt.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Referenzen: CWE-200</w:t>
      </w:r>
    </w:p>
    <w:p>
      <w:pPr>
        <w:spacing w:after="60"/>
        <w:ind w:left="240"/>
      </w:pPr>
      <w:hyperlink w:history="1" r:id="rId24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Referenzen: OWASP HTTP Headers Cheat Sheet · x-powered-by · geprüft am 05.10.2026 · https://cheatsheetseries.owasp.org/cheatsheets/HTTP_Headers_Cheat_Sheet.html#x-powered-by</w:t>
        </w:r>
      </w:hyperlink>
    </w:p>
    <w:p>
      <w:pPr>
        <w:pBdr>
          <w:bottom w:val="single" w:color="C8C8C8" w:sz="6" w:space="1"/>
        </w:pBdr>
        <w:spacing w:after="120" w:before="120"/>
      </w:pPr>
    </w:p>
    <w:p>
      <w:pPr>
        <w:pStyle w:val="Heading1"/>
        <w:keepNext/>
        <w:keepLines/>
        <w:widowControl/>
        <w:spacing w:after="60" w:before="200"/>
      </w:pPr>
      <w:r>
        <w:rPr>
          <w:rFonts w:ascii="DejaVu Sans" w:hAnsi="DejaVu Sans" w:eastAsia="Wolf Report CJK" w:cs="DejaVu Sans"/>
          <w:lang w:val="de-DE" w:eastAsia="de-DE"/>
          <w:b/>
          <w:bCs/>
          <w:color w:val="0D1A66"/>
          <w:sz w:val="26"/>
          <w:szCs w:val="26"/>
        </w:rPr>
        <w:t xml:space="preserve">HTTP-Methoden</w:t>
      </w: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nicht auswertbar (10 mögliche Punkte in dieser Kategorie)</w:t>
      </w: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18"/>
          <w:szCs w:val="18"/>
        </w:rPr>
        <w:t xml:space="preserve">Der Check liest die vom Ziel im Allow-Header angekündigten Methoden. Er führt TRACE, TRACK, CONNECT und zustandsändernde Methoden nicht aus; Berechtigungen und tatsächliche Nutzbarkeit bleiben offen.</w:t>
      </w:r>
    </w:p>
    <w:p>
      <w:pPr>
        <w:pStyle w:val="Heading2"/>
        <w:keepNext/>
        <w:keepLines/>
        <w:widowControl/>
        <w:spacing w:after="60" w:before="140"/>
      </w:pPr>
      <w:bookmarkStart w:name="check_80e80e57fce1bbb297b0fe739613c0" w:id="17"/>
      <w:r>
        <w:rPr>
          <w:rFonts w:ascii="DejaVu Sans" w:hAnsi="DejaVu Sans" w:eastAsia="Wolf Report CJK" w:cs="DejaVu Sans"/>
          <w:lang w:val="de-DE" w:eastAsia="de-DE"/>
          <w:b/>
          <w:bCs/>
          <w:color w:val="595959"/>
          <w:sz w:val="20"/>
          <w:szCs w:val="20"/>
        </w:rPr>
        <w:t xml:space="preserve">[?] xst-vulnerability · TRACE/TRACK-Methoden</w:t>
      </w:r>
      <w:bookmarkEnd w:id="17"/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Zustand: nicht auswertbar | Kennung: xst-vulnerability | Regelgewichtung (kein aktueller negativer Befund): Mittel | Schadenspotenzial: mittel | Gewicht: 12 Punkte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Geprüft wird: Ob der Server die HTTP-Methoden TRACE oder TRACK im Allow-Header einer OPTIONS-Antwort als aktiviert meldet.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20"/>
          <w:szCs w:val="20"/>
        </w:rPr>
        <w:t xml:space="preserve">Das Ziel hat die Frage nicht beantwortet - der Check konnte kein Urteil bilden. Es liegt weder ein positiver noch ein negativer Befund vor.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Referenzen: CWE-693 | OWASP API8:2023</w:t>
      </w:r>
    </w:p>
    <w:p>
      <w:pPr>
        <w:spacing w:after="60"/>
        <w:ind w:left="240"/>
      </w:pPr>
      <w:hyperlink w:history="1" r:id="rId25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Referenzen: OWASP API8:2023 · Fehlkonfiguration · Is the API Vulnerable? / How To Prevent · geprüft am 05.10.2026 · https://api-security.owasp.org/editions/2023/en/0xa8-security-misconfiguration/</w:t>
        </w:r>
      </w:hyperlink>
    </w:p>
    <w:p>
      <w:pPr>
        <w:pStyle w:val="Heading1"/>
        <w:keepNext/>
        <w:keepLines/>
        <w:pageBreakBefore/>
        <w:widowControl/>
        <w:spacing w:after="120"/>
      </w:pPr>
      <w:r>
        <w:rPr>
          <w:rFonts w:ascii="DejaVu Sans" w:hAnsi="DejaVu Sans" w:eastAsia="Wolf Report CJK" w:cs="DejaVu Sans"/>
          <w:lang w:val="de-DE" w:eastAsia="de-DE"/>
          <w:b w:val="true"/>
          <w:sz w:val="26"/>
          <w:szCs w:val="26"/>
        </w:rPr>
        <w:t xml:space="preserve">Anhang: Redaktionelles Bearbeitungsbeispiel</w:t>
      </w:r>
    </w:p>
    <w:p>
      <w:pPr>
        <w:keepNext w:val="false"/>
        <w:keepLines/>
        <w:widowControl/>
        <w:spacing w:after="120"/>
      </w:pPr>
      <w:r>
        <w:rPr>
          <w:rFonts w:ascii="DejaVu Sans" w:hAnsi="DejaVu Sans" w:eastAsia="Wolf Report CJK" w:cs="DejaVu Sans"/>
          <w:lang w:val="de-DE" w:eastAsia="de-DE"/>
          <w:b w:val="false"/>
          <w:sz w:val="20"/>
          <w:szCs w:val="20"/>
        </w:rPr>
        <w:t xml:space="preserve">Nicht Teil des Originalreports. Die Seiten davor enthalten den Originalbericht unverändert; nur die automatische Gesamtseitenzahl in der Fußzeile zählt diesen Anhang mit.</w:t>
      </w:r>
    </w:p>
    <w:p>
      <w:pPr>
        <w:keepNext w:val="false"/>
        <w:keepLines/>
        <w:widowControl/>
        <w:spacing w:after="120"/>
      </w:pPr>
      <w:r>
        <w:rPr>
          <w:rFonts w:ascii="DejaVu Sans" w:hAnsi="DejaVu Sans" w:eastAsia="Wolf Report CJK" w:cs="DejaVu Sans"/>
          <w:lang w:val="de-DE" w:eastAsia="de-DE"/>
          <w:b w:val="false"/>
          <w:sz w:val="20"/>
          <w:szCs w:val="20"/>
        </w:rPr>
        <w:t xml:space="preserve">de / none / 2026-10-05.2; Bezug: wolf-agents-api-report_wolf-agents.com_none_2026-10-05.2.docx; Scan-Kennung: 52a62d29-3718-4c38-a3dc-d45bc6f8123d; Prüfzeitpunkt: 06.10.2026, 22:32 Uhr (MESZ); Dokument erzeugt am: 06.10.2026, 22:55 Uhr (MESZ).</w:t>
      </w:r>
    </w:p>
    <w:p>
      <w:pPr>
        <w:keepNext w:val="false"/>
        <w:keepLines/>
        <w:widowControl/>
        <w:spacing w:after="120"/>
      </w:pPr>
      <w:r>
        <w:rPr>
          <w:rFonts w:ascii="DejaVu Sans" w:hAnsi="DejaVu Sans" w:eastAsia="Wolf Report CJK" w:cs="DejaVu Sans"/>
          <w:lang w:val="de-DE" w:eastAsia="de-DE"/>
          <w:b w:val="false"/>
          <w:sz w:val="20"/>
          <w:szCs w:val="20"/>
        </w:rPr>
        <w:t xml:space="preserve">Ergänzt am 06.10.2026, 22:55 Uhr (MESZ). Diese Ergänzung zeigt, wie sich aus einem Prüfpunkt eine eigene Rückfrage vorbereiten lässt. Die Notiz ist kein zusätzlicher Scannerbefund, kein menschlicher Fachprüfvermerk und keine Freigabe; die genannte nächste Prüfung wurde nicht durchgeführt. Die Kennung führt im Originalbericht und in der CSV zum selben Prüfpunkt. DOCX-Programme können Seiten unterschiedlich umbrechen.</w:t>
      </w:r>
    </w:p>
    <w:p>
      <w:pPr>
        <w:keepNext w:val="false"/>
        <w:keepLines/>
        <w:widowControl/>
        <w:spacing w:after="120"/>
      </w:pPr>
      <w:r>
        <w:rPr>
          <w:rFonts w:ascii="DejaVu Sans" w:hAnsi="DejaVu Sans" w:eastAsia="Wolf Report CJK" w:cs="DejaVu Sans"/>
          <w:lang w:val="de-DE" w:eastAsia="de-DE"/>
          <w:b w:val="false"/>
          <w:sz w:val="20"/>
          <w:szCs w:val="20"/>
        </w:rPr>
        <w:t xml:space="preserve">Diese Erläuterungen wurden mit KI erstellt. Zur Entstehung: https://wolf-agents.com/ki-hinweis/</w:t>
      </w:r>
    </w:p>
    <w:p>
      <w:pPr>
        <w:pStyle w:val="Heading1"/>
        <w:keepNext/>
        <w:keepLines/>
        <w:widowControl/>
        <w:spacing w:after="120"/>
      </w:pPr>
      <w:r>
        <w:rPr>
          <w:rFonts w:ascii="DejaVu Sans" w:hAnsi="DejaVu Sans" w:eastAsia="Wolf Report CJK" w:cs="DejaVu Sans"/>
          <w:lang w:val="de-DE" w:eastAsia="de-DE"/>
          <w:b w:val="true"/>
          <w:sz w:val="26"/>
          <w:szCs w:val="26"/>
        </w:rPr>
        <w:t xml:space="preserve">Arbeitsnotiz zu no-rate-limiting</w:t>
      </w:r>
    </w:p>
    <w:p>
      <w:pPr>
        <w:keepNext w:val="false"/>
        <w:keepLines/>
        <w:widowControl/>
        <w:spacing w:after="120"/>
      </w:pPr>
      <w:r>
        <w:rPr>
          <w:rFonts w:ascii="DejaVu Sans" w:hAnsi="DejaVu Sans" w:eastAsia="Wolf Report CJK" w:cs="DejaVu Sans"/>
          <w:lang w:val="de-DE" w:eastAsia="de-DE"/>
          <w:b w:val="false"/>
          <w:sz w:val="20"/>
          <w:szCs w:val="20"/>
        </w:rPr>
        <w:t xml:space="preserve">Prüfpunkt im Original: no-rate-limiting: Rate-Limit-Header; Hinweis.</w:t>
      </w:r>
    </w:p>
    <w:p>
      <w:pPr>
        <w:keepNext w:val="false"/>
        <w:keepLines/>
        <w:widowControl/>
        <w:spacing w:after="120"/>
      </w:pPr>
      <w:r>
        <w:rPr>
          <w:rFonts w:ascii="DejaVu Sans" w:hAnsi="DejaVu Sans" w:eastAsia="Wolf Report CJK" w:cs="DejaVu Sans"/>
          <w:lang w:val="de-DE" w:eastAsia="de-DE"/>
          <w:b w:val="false"/>
          <w:sz w:val="20"/>
          <w:szCs w:val="20"/>
        </w:rPr>
        <w:t xml:space="preserve">Bilanz des Originals: 17 Prüfpunkte: 14 bestanden, 0 nicht bestanden, 2 nicht auswertbar, 1 Hinweis.</w:t>
      </w:r>
    </w:p>
    <w:p>
      <w:pPr>
        <w:keepNext w:val="false"/>
        <w:keepLines/>
        <w:widowControl/>
        <w:spacing w:after="120"/>
      </w:pPr>
      <w:r>
        <w:rPr>
          <w:rFonts w:ascii="DejaVu Sans" w:hAnsi="DejaVu Sans" w:eastAsia="Wolf Report CJK" w:cs="DejaVu Sans"/>
          <w:lang w:val="de-DE" w:eastAsia="de-DE"/>
          <w:b w:val="false"/>
          <w:sz w:val="20"/>
          <w:szCs w:val="20"/>
        </w:rPr>
        <w:t xml:space="preserve">Beobachtung: Die beobachtete Antwort enthält keine sichtbaren Rate-Limit-Signale wie RateLimit, RateLimit-Policy oder HTTP 429. Dies ist ein Hinweis ohne Punktabzug. Die Kategorie Rate-Limiting bleibt unbewertet; die gespeicherten 100/100 Punkte belegen keine wirksame Drosselung.</w:t>
      </w:r>
    </w:p>
    <w:p>
      <w:pPr>
        <w:keepNext w:val="false"/>
        <w:keepLines/>
        <w:widowControl/>
        <w:spacing w:after="120"/>
      </w:pPr>
      <w:r>
        <w:rPr>
          <w:rFonts w:ascii="DejaVu Sans" w:hAnsi="DejaVu Sans" w:eastAsia="Wolf Report CJK" w:cs="DejaVu Sans"/>
          <w:lang w:val="de-DE" w:eastAsia="de-DE"/>
          <w:b w:val="false"/>
          <w:sz w:val="20"/>
          <w:szCs w:val="20"/>
        </w:rPr>
        <w:t xml:space="preserve">Offene Frage: Welche Begrenzung gilt tatsächlich für diesen Endpunkt, und sollen Clients sie erkennen können?</w:t>
      </w:r>
    </w:p>
    <w:p>
      <w:pPr>
        <w:keepNext w:val="false"/>
        <w:keepLines/>
        <w:widowControl/>
        <w:spacing w:after="120"/>
      </w:pPr>
      <w:r>
        <w:rPr>
          <w:rFonts w:ascii="DejaVu Sans" w:hAnsi="DejaVu Sans" w:eastAsia="Wolf Report CJK" w:cs="DejaVu Sans"/>
          <w:lang w:val="de-DE" w:eastAsia="de-DE"/>
          <w:b w:val="false"/>
          <w:sz w:val="20"/>
          <w:szCs w:val="20"/>
        </w:rPr>
        <w:t xml:space="preserve">Sinnvolle nächste Prüfung: Die betreffende Gateway- oder Anwendungskonfiguration mit Protokollen abgleichen. Einen Lasttest nur mit ausdrücklicher Freigabe ausführen. Diese Notiz ergänzt keine Messung und keinen Befund; die vorgeschlagene Prüfung wurde nicht ausgeführt.</w:t>
      </w:r>
    </w:p>
    <w:p>
      <w:pPr>
        <w:keepNext w:val="false"/>
        <w:keepLines/>
        <w:widowControl/>
        <w:spacing w:after="120"/>
      </w:pPr>
      <w:r>
        <w:rPr>
          <w:rFonts w:ascii="DejaVu Sans" w:hAnsi="DejaVu Sans" w:eastAsia="Wolf Report CJK" w:cs="DejaVu Sans"/>
          <w:lang w:val="de-DE" w:eastAsia="de-DE"/>
          <w:b w:val="false"/>
          <w:sz w:val="20"/>
          <w:szCs w:val="20"/>
        </w:rPr>
        <w:t xml:space="preserve">Im eigenen Kontext festzulegen: zuständige Stelle und Termin. Hier bewusst nicht ausgefüllt.</w:t>
      </w:r>
    </w:p>
    <w:sectPr>
      <w:footerReference w:type="default" r:id="rId7"/>
      <w:pgSz w:w="11906" w:h="16838" w:orient="portrait"/>
      <w:pgMar w:top="1134" w:right="1134" w:bottom="1550" w:left="1134" w:header="708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w="http://schemas.openxmlformats.org/wordprocessingml/2006/main" xmlns:r="http://schemas.openxmlformats.org/officeDocument/2006/relationships">
  <w:font w:name="DejaVu Sans">
    <w:family w:val="swiss"/>
    <w:embedRegular r:id="rId1" w:fontKey="{AF136685-96EE-4A18-9510-6DD36F1A0110}"/>
    <w:embedBold r:id="rId2" w:fontKey="{AF136685-96EE-4A18-9510-6DD36F1A0111}"/>
  </w:font>
  <w:font w:name="Wolf Report CJK">
    <w:family w:val="swiss"/>
    <w:embedRegular r:id="rId3" w:fontKey="{AF136685-96EE-4A18-9510-6DD36F1A011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30"/>
    </w:pPr>
    <w:r>
      <w:rPr>
        <w:rFonts w:ascii="DejaVu Sans" w:hAnsi="DejaVu Sans" w:eastAsia="Wolf Report CJK" w:cs="DejaVu Sans"/>
        <w:lang w:val="de-DE" w:eastAsia="de-DE"/>
        <w:sz w:val="17"/>
        <w:szCs w:val="17"/>
      </w:rPr>
      <w:t xml:space="preserve">Wolf-Agents.com | 52a62d29-3718-4c38-a3dc-d45bc6f8123d | Seite </w:t>
    </w:r>
    <w:r>
      <w:rPr>
        <w:rFonts w:ascii="DejaVu Sans" w:hAnsi="DejaVu Sans" w:eastAsia="Wolf Report CJK" w:cs="DejaVu Sans"/>
        <w:lang w:val="de-DE" w:eastAsia="de-DE"/>
        <w:sz w:val="17"/>
        <w:szCs w:val="17"/>
      </w:rPr>
      <w:fldChar w:fldCharType="begin"/>
      <w:instrText xml:space="preserve">PAGE</w:instrText>
      <w:fldChar w:fldCharType="separate"/>
      <w:fldChar w:fldCharType="end"/>
    </w:r>
    <w:r>
      <w:rPr>
        <w:rFonts w:ascii="DejaVu Sans" w:hAnsi="DejaVu Sans" w:eastAsia="Wolf Report CJK" w:cs="DejaVu Sans"/>
        <w:lang w:val="de-DE" w:eastAsia="de-DE"/>
        <w:sz w:val="17"/>
        <w:szCs w:val="17"/>
      </w:rPr>
      <w:t xml:space="preserve">/</w:t>
    </w:r>
    <w:r>
      <w:rPr>
        <w:rFonts w:ascii="DejaVu Sans" w:hAnsi="DejaVu Sans" w:eastAsia="Wolf Report CJK" w:cs="DejaVu Sans"/>
        <w:lang w:val="de-DE" w:eastAsia="de-DE"/>
        <w:sz w:val="17"/>
        <w:szCs w:val="17"/>
      </w:rPr>
      <w:fldChar w:fldCharType="begin"/>
      <w:instrText xml:space="preserve">NUMPAGES</w:instrText>
      <w:fldChar w:fldCharType="separate"/>
      <w:fldChar w:fldCharType="end"/>
    </w:r>
  </w:p>
  <w:p>
    <w:pPr>
      <w:keepNext w:val="false"/>
      <w:keepLines w:val="false"/>
      <w:widowControl/>
      <w:spacing w:after="0" w:before="0"/>
    </w:pPr>
    <w:r>
      <w:rPr>
        <w:rFonts w:ascii="DejaVu Sans" w:hAnsi="DejaVu Sans" w:eastAsia="Wolf Report CJK" w:cs="DejaVu Sans"/>
        <w:lang w:val="de-DE" w:eastAsia="de-DE"/>
        <w:b w:val="false"/>
        <w:bCs w:val="false"/>
        <w:color w:val="595959"/>
        <w:sz w:val="16"/>
        <w:szCs w:val="16"/>
      </w:rPr>
      <w:t xml:space="preserve">Technische Momentaufnahme im genannten Prüfumfang; kein Konformitätsnachweis.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saveSubset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ejaVu Sans" w:cs="DejaVu Sans" w:eastAsia="Wolf Report CJK" w:hAnsi="DejaVu Sans"/>
        <w:sz w:val="20"/>
        <w:szCs w:val="20"/>
        <w:lang w:val="de-DE" w:eastAsia="de-D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hyperlink" Target="https://www.bsi.bund.de/SharedDocs/Downloads/DE/BSI/Sicherheitsberatung/Pentest_Webcheck/Leitfaden_Penetrationstest.pdf?__blob=publicationFile&amp;v=3" TargetMode="External"/><Relationship Id="rId9" Type="http://schemas.openxmlformats.org/officeDocument/2006/relationships/hyperlink" Target="https://api-security.owasp.org/editions/2023/en/0xa8-security-misconfiguration/" TargetMode="External"/><Relationship Id="rId10" Type="http://schemas.openxmlformats.org/officeDocument/2006/relationships/hyperlink" Target="https://api-security.owasp.org/editions/2023/en/0xa8-security-misconfiguration/" TargetMode="External"/><Relationship Id="rId11" Type="http://schemas.openxmlformats.org/officeDocument/2006/relationships/hyperlink" Target="https://api-security.owasp.org/editions/2023/en/0xa8-security-misconfiguration/" TargetMode="External"/><Relationship Id="rId12" Type="http://schemas.openxmlformats.org/officeDocument/2006/relationships/hyperlink" Target="https://api-security.owasp.org/editions/2023/en/0xa8-security-misconfiguration/" TargetMode="External"/><Relationship Id="rId13" Type="http://schemas.openxmlformats.org/officeDocument/2006/relationships/hyperlink" Target="https://api-security.owasp.org/editions/2023/en/0xa8-security-misconfiguration/" TargetMode="External"/><Relationship Id="rId14" Type="http://schemas.openxmlformats.org/officeDocument/2006/relationships/hyperlink" Target="https://api-security.owasp.org/editions/2023/en/0xa8-security-misconfiguration/" TargetMode="External"/><Relationship Id="rId15" Type="http://schemas.openxmlformats.org/officeDocument/2006/relationships/hyperlink" Target="https://cheatsheetseries.owasp.org/cheatsheets/HTTP_Headers_Cheat_Sheet.html#x-content-type-options" TargetMode="External"/><Relationship Id="rId16" Type="http://schemas.openxmlformats.org/officeDocument/2006/relationships/hyperlink" Target="https://cheatsheetseries.owasp.org/cheatsheets/HTTP_Headers_Cheat_Sheet.html#content-type" TargetMode="External"/><Relationship Id="rId17" Type="http://schemas.openxmlformats.org/officeDocument/2006/relationships/hyperlink" Target="https://api-security.owasp.org/editions/2023/en/0xa8-security-misconfiguration/" TargetMode="External"/><Relationship Id="rId18" Type="http://schemas.openxmlformats.org/officeDocument/2006/relationships/hyperlink" Target="https://api-security.owasp.org/editions/2023/en/0xa8-security-misconfiguration/" TargetMode="External"/><Relationship Id="rId19" Type="http://schemas.openxmlformats.org/officeDocument/2006/relationships/hyperlink" Target="https://api-security.owasp.org/editions/2023/en/0xa8-security-misconfiguration/" TargetMode="External"/><Relationship Id="rId20" Type="http://schemas.openxmlformats.org/officeDocument/2006/relationships/hyperlink" Target="https://api-security.owasp.org/editions/2023/en/0xa8-security-misconfiguration/" TargetMode="External"/><Relationship Id="rId21" Type="http://schemas.openxmlformats.org/officeDocument/2006/relationships/hyperlink" Target="https://api-security.owasp.org/editions/2023/en/0xa4-unrestricted-resource-consumption/" TargetMode="External"/><Relationship Id="rId22" Type="http://schemas.openxmlformats.org/officeDocument/2006/relationships/hyperlink" Target="https://api-security.owasp.org/editions/2023/en/0xa8-security-misconfiguration/" TargetMode="External"/><Relationship Id="rId23" Type="http://schemas.openxmlformats.org/officeDocument/2006/relationships/hyperlink" Target="https://cheatsheetseries.owasp.org/cheatsheets/HTTP_Headers_Cheat_Sheet.html#server" TargetMode="External"/><Relationship Id="rId24" Type="http://schemas.openxmlformats.org/officeDocument/2006/relationships/hyperlink" Target="https://cheatsheetseries.owasp.org/cheatsheets/HTTP_Headers_Cheat_Sheet.html#x-powered-by" TargetMode="External"/><Relationship Id="rId25" Type="http://schemas.openxmlformats.org/officeDocument/2006/relationships/hyperlink" Target="https://api-security.owasp.org/editions/2023/en/0xa8-security-misconfiguration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regular.odttf"/><Relationship Id="rId2" Type="http://schemas.openxmlformats.org/officeDocument/2006/relationships/font" Target="fonts/bold.odttf"/><Relationship Id="rId3" Type="http://schemas.openxmlformats.org/officeDocument/2006/relationships/font" Target="fonts/cjk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Arbeitskopie (redaktionelles Bearbeitungsbeispiel): Security Report API-Security-Check: CORS &amp; Sicherheitsheader am öffentlichen Endpunkt - https://wolf-agents.com/api/health</dc:title>
  <dc:subject>Automatisierte technische Auswertung - kein Audit, keine Zertifizierung</dc:subject>
  <dc:creator>Wolf-Agents.com</dc:creator>
  <dc:description>Automatisierte technische Auswertung - kein Audit, keine Zertifizierung</dc:description>
  <cp:lastModifiedBy>Wolf-Agents.com</cp:lastModifiedBy>
  <cp:revision>2</cp:revision>
  <dcterms:created xsi:type="dcterms:W3CDTF">2026-10-06T20:55:43Z</dcterms:created>
  <dcterms:modified xsi:type="dcterms:W3CDTF">2026-10-06T20:55:43.527Z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